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1B8E9" w14:textId="77400F3C" w:rsidR="00A0045A" w:rsidRPr="00202C13" w:rsidRDefault="00202C13" w:rsidP="00202C13">
      <w:pPr>
        <w:jc w:val="left"/>
        <w:rPr>
          <w:rFonts w:ascii="Times New Roman" w:hAnsi="Times New Roman" w:cs="Times New Roman"/>
          <w:b/>
          <w:bCs/>
        </w:rPr>
      </w:pPr>
      <w:r w:rsidRPr="00202C13">
        <w:rPr>
          <w:rFonts w:ascii="Times New Roman" w:hAnsi="Times New Roman" w:cs="Times New Roman"/>
          <w:b/>
          <w:bCs/>
        </w:rPr>
        <w:t>Supplementary Table 1. Sensitivity Analysis of the Association Between SHR3 and Early Neurological Deterioration (END) Using Generalized Additive Models, With and Without Adjustment for CRP and WBC</w:t>
      </w:r>
    </w:p>
    <w:tbl>
      <w:tblPr>
        <w:tblStyle w:val="a4"/>
        <w:tblW w:w="8330" w:type="dxa"/>
        <w:tblLook w:val="04A0" w:firstRow="1" w:lastRow="0" w:firstColumn="1" w:lastColumn="0" w:noHBand="0" w:noVBand="1"/>
      </w:tblPr>
      <w:tblGrid>
        <w:gridCol w:w="1041"/>
        <w:gridCol w:w="517"/>
        <w:gridCol w:w="988"/>
        <w:gridCol w:w="708"/>
        <w:gridCol w:w="1131"/>
        <w:gridCol w:w="990"/>
        <w:gridCol w:w="2955"/>
      </w:tblGrid>
      <w:tr w:rsidR="00E020A9" w:rsidRPr="00202C13" w14:paraId="7327D5C2" w14:textId="77777777" w:rsidTr="00DD2038">
        <w:tc>
          <w:tcPr>
            <w:tcW w:w="1041" w:type="dxa"/>
          </w:tcPr>
          <w:p w14:paraId="7E2CD7F4" w14:textId="6DEF77CB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Model Specification</w:t>
            </w:r>
          </w:p>
        </w:tc>
        <w:tc>
          <w:tcPr>
            <w:tcW w:w="517" w:type="dxa"/>
          </w:tcPr>
          <w:p w14:paraId="19659D29" w14:textId="3C048598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proofErr w:type="spellStart"/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edf</w:t>
            </w:r>
            <w:proofErr w:type="spellEnd"/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988" w:type="dxa"/>
          </w:tcPr>
          <w:p w14:paraId="6A4AE890" w14:textId="77777777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Chi-square</w:t>
            </w:r>
          </w:p>
          <w:p w14:paraId="56C8BEC4" w14:textId="77777777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14:paraId="6E4B58F7" w14:textId="21EC1177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F63A5">
              <w:rPr>
                <w:rFonts w:ascii="Times New Roman" w:hAnsi="Times New Roman" w:cs="Times New Roman"/>
                <w:b/>
                <w:bCs/>
                <w:i/>
                <w:iCs/>
                <w:sz w:val="15"/>
                <w:szCs w:val="15"/>
              </w:rPr>
              <w:t>P</w:t>
            </w:r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-value</w:t>
            </w:r>
          </w:p>
        </w:tc>
        <w:tc>
          <w:tcPr>
            <w:tcW w:w="1131" w:type="dxa"/>
          </w:tcPr>
          <w:p w14:paraId="5BA0EDEB" w14:textId="73871334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Deviance explained (%)</w:t>
            </w:r>
          </w:p>
        </w:tc>
        <w:tc>
          <w:tcPr>
            <w:tcW w:w="990" w:type="dxa"/>
          </w:tcPr>
          <w:p w14:paraId="47D449AE" w14:textId="03621FBE" w:rsidR="00A0045A" w:rsidRPr="005F63A5" w:rsidRDefault="00202C13" w:rsidP="00202C13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Adjusted </w:t>
            </w:r>
            <w:r w:rsidR="0096301F"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R</w:t>
            </w:r>
            <w:r w:rsidR="0096301F"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2955" w:type="dxa"/>
          </w:tcPr>
          <w:p w14:paraId="361B74F9" w14:textId="00864380" w:rsidR="00A0045A" w:rsidRPr="005F63A5" w:rsidRDefault="00A0045A" w:rsidP="00202C13">
            <w:pPr>
              <w:jc w:val="left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F63A5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Significant Covariates (OR, 95% CI, P)</w:t>
            </w:r>
          </w:p>
        </w:tc>
      </w:tr>
      <w:tr w:rsidR="00E020A9" w:rsidRPr="00202C13" w14:paraId="6C51FD60" w14:textId="77777777" w:rsidTr="00DD2038">
        <w:tc>
          <w:tcPr>
            <w:tcW w:w="1041" w:type="dxa"/>
          </w:tcPr>
          <w:p w14:paraId="5A4075B3" w14:textId="2F452605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Model A</w:t>
            </w:r>
            <w:r w:rsidR="00202C13">
              <w:rPr>
                <w:rFonts w:ascii="Times New Roman" w:hAnsi="Times New Roman" w:cs="Times New Roman"/>
                <w:sz w:val="15"/>
                <w:szCs w:val="15"/>
              </w:rPr>
              <w:br/>
            </w:r>
          </w:p>
        </w:tc>
        <w:tc>
          <w:tcPr>
            <w:tcW w:w="517" w:type="dxa"/>
          </w:tcPr>
          <w:p w14:paraId="75F0488A" w14:textId="4EC2BC97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3.86</w:t>
            </w:r>
          </w:p>
        </w:tc>
        <w:tc>
          <w:tcPr>
            <w:tcW w:w="988" w:type="dxa"/>
          </w:tcPr>
          <w:p w14:paraId="1E1BC148" w14:textId="44D27012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15.5</w:t>
            </w:r>
            <w:r w:rsidR="00202C13" w:rsidRPr="00202C13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708" w:type="dxa"/>
          </w:tcPr>
          <w:p w14:paraId="29D2B768" w14:textId="33808BF0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0.0084</w:t>
            </w:r>
          </w:p>
        </w:tc>
        <w:tc>
          <w:tcPr>
            <w:tcW w:w="1131" w:type="dxa"/>
          </w:tcPr>
          <w:p w14:paraId="13D2D8DE" w14:textId="0ED314FB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7.32</w:t>
            </w:r>
          </w:p>
        </w:tc>
        <w:tc>
          <w:tcPr>
            <w:tcW w:w="990" w:type="dxa"/>
          </w:tcPr>
          <w:p w14:paraId="1AD66616" w14:textId="0627E1D9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0.0525</w:t>
            </w:r>
          </w:p>
        </w:tc>
        <w:tc>
          <w:tcPr>
            <w:tcW w:w="2955" w:type="dxa"/>
          </w:tcPr>
          <w:p w14:paraId="0020F958" w14:textId="4D3AC8B2" w:rsidR="00202C13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AF (2.41, 1.56–3.74, &lt;0.001); </w:t>
            </w:r>
          </w:p>
          <w:p w14:paraId="029CAE5A" w14:textId="7DF46B6F" w:rsidR="00202C13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HCY (4.00, 1.37–11.70, 0.011); </w:t>
            </w:r>
          </w:p>
          <w:p w14:paraId="2E171EA1" w14:textId="4175A81B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NIHSS (0.94, 0.90–0.98, 0.0017)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>.</w:t>
            </w:r>
          </w:p>
        </w:tc>
      </w:tr>
      <w:tr w:rsidR="00E020A9" w:rsidRPr="00202C13" w14:paraId="4B1C47B4" w14:textId="77777777" w:rsidTr="00DD2038">
        <w:tc>
          <w:tcPr>
            <w:tcW w:w="1041" w:type="dxa"/>
          </w:tcPr>
          <w:p w14:paraId="6124974B" w14:textId="77777777" w:rsidR="00A0045A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Model B</w:t>
            </w:r>
          </w:p>
          <w:p w14:paraId="20723D2B" w14:textId="0AD06BC8" w:rsidR="00202C13" w:rsidRPr="00202C13" w:rsidRDefault="00202C13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17" w:type="dxa"/>
          </w:tcPr>
          <w:p w14:paraId="59A166AC" w14:textId="19DFC790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4.07</w:t>
            </w:r>
          </w:p>
        </w:tc>
        <w:tc>
          <w:tcPr>
            <w:tcW w:w="988" w:type="dxa"/>
          </w:tcPr>
          <w:p w14:paraId="1FECBC56" w14:textId="358CDA3D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12.97</w:t>
            </w:r>
          </w:p>
        </w:tc>
        <w:tc>
          <w:tcPr>
            <w:tcW w:w="708" w:type="dxa"/>
          </w:tcPr>
          <w:p w14:paraId="5801FFA4" w14:textId="748B2428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0.0243</w:t>
            </w:r>
          </w:p>
        </w:tc>
        <w:tc>
          <w:tcPr>
            <w:tcW w:w="1131" w:type="dxa"/>
          </w:tcPr>
          <w:p w14:paraId="5FB90C98" w14:textId="20757746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9.04</w:t>
            </w:r>
          </w:p>
        </w:tc>
        <w:tc>
          <w:tcPr>
            <w:tcW w:w="990" w:type="dxa"/>
          </w:tcPr>
          <w:p w14:paraId="59251123" w14:textId="45846BEE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0.0664</w:t>
            </w:r>
          </w:p>
        </w:tc>
        <w:tc>
          <w:tcPr>
            <w:tcW w:w="2955" w:type="dxa"/>
          </w:tcPr>
          <w:p w14:paraId="61A88C59" w14:textId="689E12C9" w:rsidR="00202C13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AF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 (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2.24 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>,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1.43–3.49, &lt;0.001); </w:t>
            </w:r>
          </w:p>
          <w:p w14:paraId="6BB893FE" w14:textId="0FDADF78" w:rsidR="00202C13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CRP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 (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1295.94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, 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3.62–464170.93,</w:t>
            </w:r>
            <w:r w:rsidR="00E020A9"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0.0169); </w:t>
            </w:r>
          </w:p>
          <w:p w14:paraId="14FD2666" w14:textId="29B2DB14" w:rsidR="00202C13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HCY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 (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3.24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, 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1.09–9.57, 0.0338); </w:t>
            </w:r>
          </w:p>
          <w:p w14:paraId="365F06AF" w14:textId="539BB467" w:rsidR="00E020A9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WBC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 (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2.52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, 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1.26–5.01, 0.0087); </w:t>
            </w:r>
          </w:p>
          <w:p w14:paraId="7E0F5775" w14:textId="7916C215" w:rsidR="00A0045A" w:rsidRPr="00202C13" w:rsidRDefault="00A0045A" w:rsidP="00202C13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NIHSS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 xml:space="preserve"> (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 xml:space="preserve">0.92 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>,</w:t>
            </w:r>
            <w:r w:rsidRPr="00202C13">
              <w:rPr>
                <w:rFonts w:ascii="Times New Roman" w:hAnsi="Times New Roman" w:cs="Times New Roman"/>
                <w:sz w:val="15"/>
                <w:szCs w:val="15"/>
              </w:rPr>
              <w:t>0.88–0.96, &lt;0.001)</w:t>
            </w:r>
            <w:r w:rsidR="00E020A9">
              <w:rPr>
                <w:rFonts w:ascii="Times New Roman" w:hAnsi="Times New Roman" w:cs="Times New Roman"/>
                <w:sz w:val="15"/>
                <w:szCs w:val="15"/>
              </w:rPr>
              <w:t>.</w:t>
            </w:r>
          </w:p>
        </w:tc>
      </w:tr>
    </w:tbl>
    <w:p w14:paraId="01CF6D49" w14:textId="77777777" w:rsidR="00DD2038" w:rsidRPr="00DD2038" w:rsidRDefault="00DD2038" w:rsidP="00DD2038">
      <w:pPr>
        <w:jc w:val="left"/>
        <w:rPr>
          <w:rStyle w:val="a5"/>
          <w:rFonts w:ascii="Times New Roman" w:hAnsi="Times New Roman" w:cs="Times New Roman"/>
          <w:b w:val="0"/>
          <w:bCs w:val="0"/>
        </w:rPr>
      </w:pPr>
      <w:r w:rsidRPr="00DD2038">
        <w:rPr>
          <w:rStyle w:val="a5"/>
          <w:rFonts w:ascii="Times New Roman" w:hAnsi="Times New Roman" w:cs="Times New Roman"/>
          <w:b w:val="0"/>
          <w:bCs w:val="0"/>
        </w:rPr>
        <w:t>Model A adjusted for age, sex, smoking status, hypertension, diabetes mellitus, atrial fibrillation (AF), chronic obstructive pulmonary disease (COPD), TOAST classification, systolic blood pressure (SBP), diastolic blood pressure (DBP), triglycerides (TG, Box-Cox transformed), high-density lipoprotein cholesterol (HDL-C), low-density lipoprotein cholesterol (LDL-C), aspartate aminotransferase (AST, Box-Cox transformed), alanine aminotransferase (ALT, Box-Cox transformed), uric acid (UA, Box-Cox transformed), homocysteine (HCY, Box-Cox transformed), estimated glomerular filtration rate (eGFR), and baseline NIHSS.</w:t>
      </w:r>
    </w:p>
    <w:p w14:paraId="0DA03535" w14:textId="77777777" w:rsidR="00DD2038" w:rsidRPr="00DD2038" w:rsidRDefault="00DD2038" w:rsidP="00DD2038">
      <w:pPr>
        <w:jc w:val="left"/>
        <w:rPr>
          <w:rStyle w:val="a5"/>
          <w:rFonts w:ascii="Times New Roman" w:hAnsi="Times New Roman" w:cs="Times New Roman"/>
          <w:b w:val="0"/>
          <w:bCs w:val="0"/>
        </w:rPr>
      </w:pPr>
      <w:r w:rsidRPr="00DD2038">
        <w:rPr>
          <w:rStyle w:val="a5"/>
          <w:rFonts w:ascii="Times New Roman" w:hAnsi="Times New Roman" w:cs="Times New Roman"/>
          <w:b w:val="0"/>
          <w:bCs w:val="0"/>
        </w:rPr>
        <w:t>Model B included all covariates from Model A with additional adjustment for C-reactive protein (CRP, Box-Cox transformed) and white blood cell count (WBC, Box-Cox transformed).</w:t>
      </w:r>
    </w:p>
    <w:p w14:paraId="5625E1C2" w14:textId="77777777" w:rsidR="00DD2038" w:rsidRPr="00DD2038" w:rsidRDefault="00DD2038" w:rsidP="00DD2038">
      <w:pPr>
        <w:jc w:val="left"/>
        <w:rPr>
          <w:rStyle w:val="a5"/>
          <w:rFonts w:ascii="Times New Roman" w:hAnsi="Times New Roman" w:cs="Times New Roman"/>
          <w:b w:val="0"/>
          <w:bCs w:val="0"/>
        </w:rPr>
      </w:pPr>
      <w:r w:rsidRPr="00DD2038">
        <w:rPr>
          <w:rStyle w:val="a5"/>
          <w:rFonts w:ascii="Times New Roman" w:hAnsi="Times New Roman" w:cs="Times New Roman"/>
          <w:b w:val="0"/>
          <w:bCs w:val="0"/>
        </w:rPr>
        <w:t>Only covariates with statistical significance (</w:t>
      </w:r>
      <w:r w:rsidRPr="00DD2038">
        <w:rPr>
          <w:rStyle w:val="a5"/>
          <w:rFonts w:ascii="Times New Roman" w:hAnsi="Times New Roman" w:cs="Times New Roman"/>
          <w:b w:val="0"/>
          <w:bCs w:val="0"/>
          <w:i/>
          <w:iCs/>
        </w:rPr>
        <w:t>P</w:t>
      </w:r>
      <w:r w:rsidRPr="00DD2038">
        <w:rPr>
          <w:rStyle w:val="a5"/>
          <w:rFonts w:ascii="Times New Roman" w:hAnsi="Times New Roman" w:cs="Times New Roman"/>
          <w:b w:val="0"/>
          <w:bCs w:val="0"/>
        </w:rPr>
        <w:t xml:space="preserve"> &lt; 0.05) are reported. The smooth term represents the non-linear association between SHR and END risk.</w:t>
      </w:r>
    </w:p>
    <w:p w14:paraId="0652C677" w14:textId="77777777" w:rsidR="00DD2038" w:rsidRPr="00DD2038" w:rsidRDefault="00DD2038" w:rsidP="00DD2038">
      <w:pPr>
        <w:jc w:val="left"/>
        <w:rPr>
          <w:rStyle w:val="a5"/>
          <w:rFonts w:ascii="Times New Roman" w:hAnsi="Times New Roman" w:cs="Times New Roman"/>
          <w:b w:val="0"/>
          <w:bCs w:val="0"/>
        </w:rPr>
      </w:pPr>
      <w:r w:rsidRPr="00DD2038">
        <w:rPr>
          <w:rStyle w:val="a5"/>
          <w:rFonts w:ascii="Times New Roman" w:hAnsi="Times New Roman" w:cs="Times New Roman"/>
          <w:b w:val="0"/>
          <w:bCs w:val="0"/>
        </w:rPr>
        <w:t>Extremely wide confidence intervals for CRP reflect data skewness and should be interpreted with caution.</w:t>
      </w:r>
    </w:p>
    <w:p w14:paraId="77F1468F" w14:textId="309487CB" w:rsidR="00A0045A" w:rsidRPr="00DD2038" w:rsidRDefault="00DD2038" w:rsidP="00DD2038">
      <w:pPr>
        <w:jc w:val="left"/>
        <w:rPr>
          <w:rFonts w:ascii="Times New Roman" w:hAnsi="Times New Roman" w:cs="Times New Roman"/>
          <w:b/>
          <w:bCs/>
        </w:rPr>
      </w:pPr>
      <w:r w:rsidRPr="00DD2038">
        <w:rPr>
          <w:rStyle w:val="a5"/>
          <w:rFonts w:ascii="Times New Roman" w:hAnsi="Times New Roman" w:cs="Times New Roman"/>
          <w:b w:val="0"/>
          <w:bCs w:val="0"/>
        </w:rPr>
        <w:t xml:space="preserve">Abbreviations: </w:t>
      </w:r>
      <w:proofErr w:type="spellStart"/>
      <w:r w:rsidRPr="00DD2038">
        <w:rPr>
          <w:rStyle w:val="a5"/>
          <w:rFonts w:ascii="Times New Roman" w:hAnsi="Times New Roman" w:cs="Times New Roman"/>
          <w:b w:val="0"/>
          <w:bCs w:val="0"/>
        </w:rPr>
        <w:t>edf</w:t>
      </w:r>
      <w:proofErr w:type="spellEnd"/>
      <w:r w:rsidRPr="00DD2038">
        <w:rPr>
          <w:rStyle w:val="a5"/>
          <w:rFonts w:ascii="Times New Roman" w:hAnsi="Times New Roman" w:cs="Times New Roman"/>
          <w:b w:val="0"/>
          <w:bCs w:val="0"/>
        </w:rPr>
        <w:t>, effective degrees of freedom; AF, atrial fibrillation; HCY, homocysteine; NIHSS, National Institutes of Health Stroke Scale; CRP, C-reactive protein; WBC, white blood cell count.</w:t>
      </w:r>
    </w:p>
    <w:sectPr w:rsidR="00A0045A" w:rsidRPr="00DD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7DA"/>
    <w:rsid w:val="00202C13"/>
    <w:rsid w:val="002045D9"/>
    <w:rsid w:val="003047DA"/>
    <w:rsid w:val="005F63A5"/>
    <w:rsid w:val="0086045F"/>
    <w:rsid w:val="0096301F"/>
    <w:rsid w:val="00A0045A"/>
    <w:rsid w:val="00CC2A77"/>
    <w:rsid w:val="00DD2038"/>
    <w:rsid w:val="00E0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0B441"/>
  <w15:chartTrackingRefBased/>
  <w15:docId w15:val="{134F174C-AF93-438A-958B-765385DE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CC2A77"/>
    <w:rPr>
      <w:rFonts w:ascii="Times New Roman" w:eastAsia="宋体" w:hAnsi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line="360" w:lineRule="exact"/>
        <w:jc w:val="center"/>
      </w:pPr>
      <w:rPr>
        <w:rFonts w:ascii="Times New Roman" w:eastAsia="宋体" w:hAnsi="Times New Roman"/>
        <w:b w:val="0"/>
        <w:i w:val="0"/>
        <w:sz w:val="21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4">
    <w:name w:val="Table Grid"/>
    <w:basedOn w:val="a1"/>
    <w:uiPriority w:val="39"/>
    <w:rsid w:val="00A00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0045A"/>
    <w:rPr>
      <w:b/>
      <w:bCs/>
    </w:rPr>
  </w:style>
  <w:style w:type="character" w:styleId="a6">
    <w:name w:val="Emphasis"/>
    <w:basedOn w:val="a0"/>
    <w:uiPriority w:val="20"/>
    <w:qFormat/>
    <w:rsid w:val="00A004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正坪 朱</dc:creator>
  <cp:keywords/>
  <dc:description/>
  <cp:lastModifiedBy>正坪 朱</cp:lastModifiedBy>
  <cp:revision>5</cp:revision>
  <dcterms:created xsi:type="dcterms:W3CDTF">2025-08-10T05:27:00Z</dcterms:created>
  <dcterms:modified xsi:type="dcterms:W3CDTF">2025-09-22T04:34:00Z</dcterms:modified>
</cp:coreProperties>
</file>